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5F" w:rsidRDefault="00ED2B5F" w:rsidP="00E509EA">
      <w:pPr>
        <w:pStyle w:val="a3"/>
        <w:shd w:val="clear" w:color="auto" w:fill="FFFFFF"/>
        <w:spacing w:before="120" w:beforeAutospacing="0" w:after="120" w:afterAutospacing="0"/>
        <w:jc w:val="center"/>
        <w:rPr>
          <w:rFonts w:ascii="Arial" w:hAnsi="Arial" w:cs="Arial"/>
          <w:b/>
          <w:bCs/>
          <w:color w:val="222222"/>
          <w:sz w:val="21"/>
          <w:szCs w:val="21"/>
        </w:rPr>
      </w:pPr>
      <w:r>
        <w:rPr>
          <w:rFonts w:ascii="Arial" w:hAnsi="Arial" w:cs="Arial"/>
          <w:b/>
          <w:bCs/>
          <w:noProof/>
          <w:color w:val="222222"/>
          <w:sz w:val="21"/>
          <w:szCs w:val="21"/>
        </w:rPr>
        <w:drawing>
          <wp:inline distT="0" distB="0" distL="0" distR="0">
            <wp:extent cx="6010275" cy="2006271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3587" t="53823" r="18473" b="29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00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B5F" w:rsidRPr="00E509EA" w:rsidRDefault="00E509EA" w:rsidP="00E509EA">
      <w:pPr>
        <w:pStyle w:val="a3"/>
        <w:shd w:val="clear" w:color="auto" w:fill="FFFFFF"/>
        <w:spacing w:before="120" w:beforeAutospacing="0" w:after="0" w:afterAutospacing="0"/>
        <w:rPr>
          <w:bCs/>
          <w:color w:val="222222"/>
        </w:rPr>
      </w:pPr>
      <w:r w:rsidRPr="00E509EA">
        <w:rPr>
          <w:bCs/>
          <w:color w:val="222222"/>
        </w:rPr>
        <w:t>Текст</w:t>
      </w:r>
      <w:r w:rsidRPr="00E509EA">
        <w:rPr>
          <w:rFonts w:ascii="Arial" w:hAnsi="Arial" w:cs="Arial"/>
          <w:bCs/>
          <w:color w:val="222222"/>
          <w:sz w:val="21"/>
          <w:szCs w:val="21"/>
        </w:rPr>
        <w:t xml:space="preserve"> </w:t>
      </w:r>
      <w:r w:rsidRPr="00E509EA">
        <w:rPr>
          <w:bCs/>
          <w:color w:val="222222"/>
        </w:rPr>
        <w:t>сохраните в своей папке на сервере под именем «Грузовое судно».</w:t>
      </w:r>
    </w:p>
    <w:p w:rsidR="00ED2B5F" w:rsidRDefault="00E509EA" w:rsidP="00E509EA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  <w:b/>
          <w:bCs/>
          <w:color w:val="222222"/>
          <w:sz w:val="21"/>
          <w:szCs w:val="21"/>
        </w:rPr>
      </w:pPr>
      <w:r>
        <w:rPr>
          <w:rFonts w:ascii="Arial" w:hAnsi="Arial" w:cs="Arial"/>
          <w:b/>
          <w:bCs/>
          <w:noProof/>
          <w:color w:val="222222"/>
          <w:sz w:val="21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.75pt;margin-top:6.45pt;width:513pt;height:0;z-index:251658240" o:connectortype="straight"/>
        </w:pict>
      </w:r>
    </w:p>
    <w:p w:rsidR="00ED2B5F" w:rsidRPr="00ED2B5F" w:rsidRDefault="002957A9" w:rsidP="00E509EA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D2B5F">
        <w:rPr>
          <w:b/>
          <w:bCs/>
          <w:color w:val="222222"/>
        </w:rPr>
        <w:t>Грузовым судном,</w:t>
      </w:r>
      <w:r w:rsidRPr="00ED2B5F">
        <w:rPr>
          <w:color w:val="222222"/>
        </w:rPr>
        <w:t> согласно определению </w:t>
      </w:r>
      <w:r w:rsidRPr="00E509EA">
        <w:rPr>
          <w:iCs/>
          <w:u w:val="single"/>
        </w:rPr>
        <w:t>Конвенции</w:t>
      </w:r>
      <w:r w:rsidRPr="00E509EA">
        <w:rPr>
          <w:iCs/>
          <w:color w:val="222222"/>
          <w:u w:val="single"/>
        </w:rPr>
        <w:t> </w:t>
      </w:r>
      <w:r w:rsidRPr="00E509EA">
        <w:rPr>
          <w:iCs/>
          <w:u w:val="single"/>
        </w:rPr>
        <w:t>СОЛАС</w:t>
      </w:r>
      <w:r w:rsidRPr="00ED2B5F">
        <w:rPr>
          <w:color w:val="222222"/>
        </w:rPr>
        <w:t>, является </w:t>
      </w:r>
      <w:r w:rsidRPr="00ED2B5F">
        <w:t>судно</w:t>
      </w:r>
      <w:r w:rsidRPr="00ED2B5F">
        <w:rPr>
          <w:color w:val="222222"/>
        </w:rPr>
        <w:t>, не являющееся </w:t>
      </w:r>
      <w:r w:rsidRPr="00ED2B5F">
        <w:t>пассажирским</w:t>
      </w:r>
      <w:r w:rsidRPr="00ED2B5F">
        <w:rPr>
          <w:color w:val="222222"/>
        </w:rPr>
        <w:t>.</w:t>
      </w:r>
      <w:r w:rsidR="00ED2B5F" w:rsidRPr="00ED2B5F">
        <w:rPr>
          <w:color w:val="222222"/>
        </w:rPr>
        <w:t xml:space="preserve"> </w:t>
      </w:r>
      <w:r w:rsidR="00ED2B5F" w:rsidRPr="00ED2B5F">
        <w:t>Существует мировая классификация грузовых судов по размерам. Она опирается на возможности портов и терминалов по приёму судов разного размера и на пропускных способностях наиболее важных каналов (</w:t>
      </w:r>
      <w:hyperlink r:id="rId5" w:tooltip="Суэцкий канал" w:history="1">
        <w:r w:rsidR="00ED2B5F" w:rsidRPr="00E509EA">
          <w:rPr>
            <w:rStyle w:val="a4"/>
            <w:b/>
            <w:i/>
            <w:color w:val="000000" w:themeColor="text1"/>
          </w:rPr>
          <w:t>Суэцкого</w:t>
        </w:r>
      </w:hyperlink>
      <w:r w:rsidR="00ED2B5F" w:rsidRPr="00E509EA">
        <w:rPr>
          <w:b/>
          <w:i/>
          <w:color w:val="000000" w:themeColor="text1"/>
          <w:u w:val="single"/>
        </w:rPr>
        <w:t> и </w:t>
      </w:r>
      <w:hyperlink r:id="rId6" w:tooltip="Панамский канал" w:history="1">
        <w:r w:rsidR="00ED2B5F" w:rsidRPr="00E509EA">
          <w:rPr>
            <w:rStyle w:val="a4"/>
            <w:b/>
            <w:i/>
            <w:color w:val="000000" w:themeColor="text1"/>
          </w:rPr>
          <w:t>Панамского</w:t>
        </w:r>
      </w:hyperlink>
      <w:r w:rsidR="00ED2B5F" w:rsidRPr="00ED2B5F">
        <w:t>). Существует несколько трактовок этих классов: шкала Ллойда, шкала AFRA, шкала гибкого рынка.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2"/>
        <w:gridCol w:w="2266"/>
        <w:gridCol w:w="1701"/>
        <w:gridCol w:w="2178"/>
        <w:gridCol w:w="1721"/>
      </w:tblGrid>
      <w:tr w:rsidR="00ED2B5F" w:rsidTr="00E509EA">
        <w:tc>
          <w:tcPr>
            <w:tcW w:w="0" w:type="auto"/>
            <w:vMerge w:val="restart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Название и расшифровка</w:t>
            </w:r>
          </w:p>
        </w:tc>
        <w:tc>
          <w:tcPr>
            <w:tcW w:w="2254" w:type="dxa"/>
            <w:vMerge w:val="restart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Альтернативное название</w:t>
            </w:r>
          </w:p>
        </w:tc>
        <w:tc>
          <w:tcPr>
            <w:tcW w:w="5600" w:type="dxa"/>
            <w:gridSpan w:val="3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Характеристики шкал (</w:t>
            </w:r>
            <w:hyperlink r:id="rId7" w:tooltip="Дедвейт" w:history="1">
              <w:r w:rsidRPr="00E509EA">
                <w:rPr>
                  <w:rStyle w:val="a4"/>
                  <w:bCs/>
                  <w:color w:val="000000" w:themeColor="text1"/>
                  <w:u w:val="none"/>
                </w:rPr>
                <w:t>дедвейт</w:t>
              </w:r>
            </w:hyperlink>
            <w:r w:rsidRPr="00E509EA">
              <w:rPr>
                <w:bCs/>
                <w:color w:val="000000" w:themeColor="text1"/>
              </w:rPr>
              <w:t> в </w:t>
            </w:r>
            <w:hyperlink r:id="rId8" w:tooltip="Тонна" w:history="1">
              <w:r w:rsidRPr="00E509EA">
                <w:rPr>
                  <w:rStyle w:val="a4"/>
                  <w:bCs/>
                  <w:color w:val="000000" w:themeColor="text1"/>
                  <w:u w:val="none"/>
                </w:rPr>
                <w:t>тоннах</w:t>
              </w:r>
            </w:hyperlink>
            <w:r w:rsidRPr="00E509EA">
              <w:rPr>
                <w:bCs/>
                <w:color w:val="000000" w:themeColor="text1"/>
              </w:rPr>
              <w:t>)</w:t>
            </w:r>
          </w:p>
        </w:tc>
      </w:tr>
      <w:tr w:rsidR="00ED2B5F" w:rsidTr="00E509EA"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ED2B5F" w:rsidRPr="00E509EA" w:rsidRDefault="00ED2B5F">
            <w:pPr>
              <w:rPr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  <w:shd w:val="clear" w:color="auto" w:fill="FFFFFF" w:themeFill="background1"/>
            <w:vAlign w:val="center"/>
            <w:hideMark/>
          </w:tcPr>
          <w:p w:rsidR="00ED2B5F" w:rsidRPr="00E509EA" w:rsidRDefault="00ED2B5F">
            <w:pPr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Ллойда</w:t>
            </w:r>
          </w:p>
        </w:tc>
        <w:tc>
          <w:tcPr>
            <w:tcW w:w="2178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AFRA</w:t>
            </w:r>
          </w:p>
        </w:tc>
        <w:tc>
          <w:tcPr>
            <w:tcW w:w="0" w:type="auto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гибкого рынка</w:t>
            </w:r>
          </w:p>
        </w:tc>
      </w:tr>
      <w:tr w:rsidR="00ED2B5F" w:rsidTr="00ED2B5F">
        <w:tc>
          <w:tcPr>
            <w:tcW w:w="5058" w:type="dxa"/>
            <w:gridSpan w:val="2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 xml:space="preserve">ULCC: </w:t>
            </w:r>
            <w:r w:rsidRPr="00E509EA">
              <w:rPr>
                <w:i/>
                <w:iCs/>
                <w:color w:val="000000" w:themeColor="text1"/>
              </w:rPr>
              <w:t>Ультра Крупные Перевозчики Нефти</w:t>
            </w: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300—550 тыс.</w:t>
            </w:r>
          </w:p>
        </w:tc>
        <w:tc>
          <w:tcPr>
            <w:tcW w:w="2178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320—550 тыс.</w:t>
            </w: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320—550 тыс.</w:t>
            </w:r>
          </w:p>
        </w:tc>
      </w:tr>
      <w:tr w:rsidR="00ED2B5F" w:rsidTr="00ED2B5F">
        <w:tc>
          <w:tcPr>
            <w:tcW w:w="5058" w:type="dxa"/>
            <w:gridSpan w:val="2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 xml:space="preserve">VLCC: </w:t>
            </w:r>
            <w:r w:rsidRPr="00E509EA">
              <w:rPr>
                <w:i/>
                <w:iCs/>
                <w:color w:val="000000" w:themeColor="text1"/>
              </w:rPr>
              <w:t>Очень Крупные Перевозчики Нефти</w:t>
            </w: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200—300 тыс.</w:t>
            </w:r>
          </w:p>
        </w:tc>
        <w:tc>
          <w:tcPr>
            <w:tcW w:w="2178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160—320 тыс.</w:t>
            </w: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200—320 тыс.</w:t>
            </w:r>
          </w:p>
        </w:tc>
      </w:tr>
      <w:tr w:rsidR="00ED2B5F" w:rsidTr="00E509EA"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proofErr w:type="spellStart"/>
            <w:r w:rsidRPr="00E509EA">
              <w:rPr>
                <w:color w:val="000000" w:themeColor="text1"/>
              </w:rPr>
              <w:t>Suezmax</w:t>
            </w:r>
            <w:proofErr w:type="spellEnd"/>
          </w:p>
        </w:tc>
        <w:tc>
          <w:tcPr>
            <w:tcW w:w="2254" w:type="dxa"/>
            <w:vMerge w:val="restart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AFRA</w:t>
            </w: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180—200 тыс.</w:t>
            </w:r>
          </w:p>
        </w:tc>
        <w:tc>
          <w:tcPr>
            <w:tcW w:w="2178" w:type="dxa"/>
            <w:vMerge w:val="restart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80—160 тыс.</w:t>
            </w: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120—200 тыс.</w:t>
            </w:r>
          </w:p>
        </w:tc>
      </w:tr>
      <w:tr w:rsidR="00ED2B5F" w:rsidTr="00E509EA"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hyperlink r:id="rId9" w:tooltip="Афрамакс" w:history="1">
              <w:proofErr w:type="spellStart"/>
              <w:r w:rsidRPr="00E509EA">
                <w:rPr>
                  <w:rStyle w:val="a4"/>
                  <w:color w:val="000000" w:themeColor="text1"/>
                  <w:u w:val="none"/>
                </w:rPr>
                <w:t>Афрамакс</w:t>
              </w:r>
              <w:proofErr w:type="spellEnd"/>
            </w:hyperlink>
          </w:p>
        </w:tc>
        <w:tc>
          <w:tcPr>
            <w:tcW w:w="2254" w:type="dxa"/>
            <w:vMerge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100—180 тыс.</w:t>
            </w:r>
          </w:p>
        </w:tc>
        <w:tc>
          <w:tcPr>
            <w:tcW w:w="2178" w:type="dxa"/>
            <w:vMerge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D2B5F" w:rsidRPr="00E509EA" w:rsidRDefault="00ED2B5F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80—120 тыс.</w:t>
            </w:r>
          </w:p>
        </w:tc>
      </w:tr>
    </w:tbl>
    <w:p w:rsidR="00E509EA" w:rsidRDefault="00E509EA"/>
    <w:p w:rsidR="00E509EA" w:rsidRDefault="00E509EA" w:rsidP="00E509EA">
      <w:pPr>
        <w:pStyle w:val="a3"/>
        <w:shd w:val="clear" w:color="auto" w:fill="FFFFFF"/>
        <w:spacing w:before="120" w:beforeAutospacing="0" w:after="120" w:afterAutospacing="0"/>
        <w:jc w:val="center"/>
        <w:rPr>
          <w:rFonts w:ascii="Arial" w:hAnsi="Arial" w:cs="Arial"/>
          <w:b/>
          <w:bCs/>
          <w:color w:val="222222"/>
          <w:sz w:val="21"/>
          <w:szCs w:val="21"/>
        </w:rPr>
      </w:pPr>
      <w:r>
        <w:rPr>
          <w:rFonts w:ascii="Arial" w:hAnsi="Arial" w:cs="Arial"/>
          <w:b/>
          <w:bCs/>
          <w:noProof/>
          <w:color w:val="222222"/>
          <w:sz w:val="21"/>
          <w:szCs w:val="21"/>
        </w:rPr>
        <w:drawing>
          <wp:inline distT="0" distB="0" distL="0" distR="0">
            <wp:extent cx="5962650" cy="198190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3587" t="53894" r="18473" b="29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981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9EA" w:rsidRPr="00E509EA" w:rsidRDefault="00E509EA" w:rsidP="00E509EA">
      <w:pPr>
        <w:pStyle w:val="a3"/>
        <w:shd w:val="clear" w:color="auto" w:fill="FFFFFF"/>
        <w:spacing w:before="120" w:beforeAutospacing="0" w:after="120" w:afterAutospacing="0"/>
        <w:rPr>
          <w:bCs/>
          <w:color w:val="222222"/>
        </w:rPr>
      </w:pPr>
      <w:r w:rsidRPr="00E509EA">
        <w:rPr>
          <w:bCs/>
          <w:color w:val="222222"/>
        </w:rPr>
        <w:t>Текст</w:t>
      </w:r>
      <w:r w:rsidRPr="00E509EA">
        <w:rPr>
          <w:rFonts w:ascii="Arial" w:hAnsi="Arial" w:cs="Arial"/>
          <w:bCs/>
          <w:color w:val="222222"/>
          <w:sz w:val="21"/>
          <w:szCs w:val="21"/>
        </w:rPr>
        <w:t xml:space="preserve"> </w:t>
      </w:r>
      <w:r w:rsidRPr="00E509EA">
        <w:rPr>
          <w:bCs/>
          <w:color w:val="222222"/>
        </w:rPr>
        <w:t>сохраните в своей папке на сервере под именем «Грузовое судно».</w:t>
      </w:r>
    </w:p>
    <w:p w:rsidR="00E509EA" w:rsidRDefault="00E509EA" w:rsidP="00E509E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b/>
          <w:bCs/>
          <w:color w:val="222222"/>
          <w:sz w:val="21"/>
          <w:szCs w:val="21"/>
        </w:rPr>
      </w:pPr>
      <w:r>
        <w:rPr>
          <w:rFonts w:ascii="Arial" w:hAnsi="Arial" w:cs="Arial"/>
          <w:b/>
          <w:bCs/>
          <w:noProof/>
          <w:color w:val="222222"/>
          <w:sz w:val="21"/>
          <w:szCs w:val="21"/>
        </w:rPr>
        <w:pict>
          <v:shape id="_x0000_s1027" type="#_x0000_t32" style="position:absolute;margin-left:9.75pt;margin-top:6.45pt;width:513pt;height:0;z-index:251660288" o:connectortype="straight"/>
        </w:pict>
      </w:r>
    </w:p>
    <w:p w:rsidR="00E509EA" w:rsidRPr="00ED2B5F" w:rsidRDefault="00E509EA" w:rsidP="00E509EA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D2B5F">
        <w:rPr>
          <w:b/>
          <w:bCs/>
          <w:color w:val="222222"/>
        </w:rPr>
        <w:t>Грузовым судном,</w:t>
      </w:r>
      <w:r w:rsidRPr="00ED2B5F">
        <w:rPr>
          <w:color w:val="222222"/>
        </w:rPr>
        <w:t> согласно определению </w:t>
      </w:r>
      <w:r w:rsidRPr="00E509EA">
        <w:rPr>
          <w:iCs/>
          <w:u w:val="single"/>
        </w:rPr>
        <w:t>Конвенции</w:t>
      </w:r>
      <w:r w:rsidRPr="00E509EA">
        <w:rPr>
          <w:iCs/>
          <w:color w:val="222222"/>
          <w:u w:val="single"/>
        </w:rPr>
        <w:t> </w:t>
      </w:r>
      <w:r w:rsidRPr="00E509EA">
        <w:rPr>
          <w:iCs/>
          <w:u w:val="single"/>
        </w:rPr>
        <w:t>СОЛАС</w:t>
      </w:r>
      <w:r w:rsidRPr="00ED2B5F">
        <w:rPr>
          <w:color w:val="222222"/>
        </w:rPr>
        <w:t>, является </w:t>
      </w:r>
      <w:r w:rsidRPr="00ED2B5F">
        <w:t>судно</w:t>
      </w:r>
      <w:r w:rsidRPr="00ED2B5F">
        <w:rPr>
          <w:color w:val="222222"/>
        </w:rPr>
        <w:t>, не являющееся </w:t>
      </w:r>
      <w:r w:rsidRPr="00ED2B5F">
        <w:t>пассажирским</w:t>
      </w:r>
      <w:r w:rsidRPr="00ED2B5F">
        <w:rPr>
          <w:color w:val="222222"/>
        </w:rPr>
        <w:t xml:space="preserve">. </w:t>
      </w:r>
      <w:r w:rsidRPr="00ED2B5F">
        <w:t>Существует мировая классификация грузовых судов по размерам. Она опирается на возможности портов и терминалов по приёму судов разного размера и на пропускных способностях наиболее важных каналов (</w:t>
      </w:r>
      <w:hyperlink r:id="rId10" w:tooltip="Суэцкий канал" w:history="1">
        <w:r w:rsidRPr="00E509EA">
          <w:rPr>
            <w:rStyle w:val="a4"/>
            <w:b/>
            <w:i/>
            <w:color w:val="000000" w:themeColor="text1"/>
          </w:rPr>
          <w:t>Суэцкого</w:t>
        </w:r>
      </w:hyperlink>
      <w:r w:rsidRPr="00E509EA">
        <w:rPr>
          <w:b/>
          <w:i/>
          <w:color w:val="000000" w:themeColor="text1"/>
          <w:u w:val="single"/>
        </w:rPr>
        <w:t> и </w:t>
      </w:r>
      <w:hyperlink r:id="rId11" w:tooltip="Панамский канал" w:history="1">
        <w:r w:rsidRPr="00E509EA">
          <w:rPr>
            <w:rStyle w:val="a4"/>
            <w:b/>
            <w:i/>
            <w:color w:val="000000" w:themeColor="text1"/>
          </w:rPr>
          <w:t>Панамского</w:t>
        </w:r>
      </w:hyperlink>
      <w:r w:rsidRPr="00ED2B5F">
        <w:t>). Существует несколько трактовок этих классов: шкала Ллойда, шкала AFRA, шкала гибкого рынка.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2"/>
        <w:gridCol w:w="2266"/>
        <w:gridCol w:w="1701"/>
        <w:gridCol w:w="2178"/>
        <w:gridCol w:w="1721"/>
      </w:tblGrid>
      <w:tr w:rsidR="00E509EA" w:rsidTr="00E509EA">
        <w:tc>
          <w:tcPr>
            <w:tcW w:w="0" w:type="auto"/>
            <w:vMerge w:val="restart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Название и расшифровка</w:t>
            </w:r>
          </w:p>
        </w:tc>
        <w:tc>
          <w:tcPr>
            <w:tcW w:w="2254" w:type="dxa"/>
            <w:vMerge w:val="restart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Альтернативное название</w:t>
            </w:r>
          </w:p>
        </w:tc>
        <w:tc>
          <w:tcPr>
            <w:tcW w:w="5600" w:type="dxa"/>
            <w:gridSpan w:val="3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Характеристики шкал (</w:t>
            </w:r>
            <w:hyperlink r:id="rId12" w:tooltip="Дедвейт" w:history="1">
              <w:r w:rsidRPr="00E509EA">
                <w:rPr>
                  <w:rStyle w:val="a4"/>
                  <w:bCs/>
                  <w:color w:val="000000" w:themeColor="text1"/>
                  <w:u w:val="none"/>
                </w:rPr>
                <w:t>дедвейт</w:t>
              </w:r>
            </w:hyperlink>
            <w:r w:rsidRPr="00E509EA">
              <w:rPr>
                <w:bCs/>
                <w:color w:val="000000" w:themeColor="text1"/>
              </w:rPr>
              <w:t> в </w:t>
            </w:r>
            <w:hyperlink r:id="rId13" w:tooltip="Тонна" w:history="1">
              <w:r w:rsidRPr="00E509EA">
                <w:rPr>
                  <w:rStyle w:val="a4"/>
                  <w:bCs/>
                  <w:color w:val="000000" w:themeColor="text1"/>
                  <w:u w:val="none"/>
                </w:rPr>
                <w:t>тоннах</w:t>
              </w:r>
            </w:hyperlink>
            <w:r w:rsidRPr="00E509EA">
              <w:rPr>
                <w:bCs/>
                <w:color w:val="000000" w:themeColor="text1"/>
              </w:rPr>
              <w:t>)</w:t>
            </w:r>
          </w:p>
        </w:tc>
      </w:tr>
      <w:tr w:rsidR="00E509EA" w:rsidTr="00E509EA"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E509EA" w:rsidRPr="00E509EA" w:rsidRDefault="00E509EA" w:rsidP="00B542E8">
            <w:pPr>
              <w:rPr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  <w:shd w:val="clear" w:color="auto" w:fill="FFFFFF" w:themeFill="background1"/>
            <w:vAlign w:val="center"/>
            <w:hideMark/>
          </w:tcPr>
          <w:p w:rsidR="00E509EA" w:rsidRPr="00E509EA" w:rsidRDefault="00E509EA" w:rsidP="00B542E8">
            <w:pPr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Ллойда</w:t>
            </w:r>
          </w:p>
        </w:tc>
        <w:tc>
          <w:tcPr>
            <w:tcW w:w="2178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AFRA</w:t>
            </w:r>
          </w:p>
        </w:tc>
        <w:tc>
          <w:tcPr>
            <w:tcW w:w="0" w:type="auto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jc w:val="center"/>
              <w:rPr>
                <w:bCs/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гибкого рынка</w:t>
            </w:r>
          </w:p>
        </w:tc>
      </w:tr>
      <w:tr w:rsidR="00E509EA" w:rsidTr="00B542E8">
        <w:tc>
          <w:tcPr>
            <w:tcW w:w="5058" w:type="dxa"/>
            <w:gridSpan w:val="2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 xml:space="preserve">ULCC: </w:t>
            </w:r>
            <w:r w:rsidRPr="00E509EA">
              <w:rPr>
                <w:i/>
                <w:iCs/>
                <w:color w:val="000000" w:themeColor="text1"/>
              </w:rPr>
              <w:t>Ультра Крупные Перевозчики Нефти</w:t>
            </w: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300—550 тыс.</w:t>
            </w:r>
          </w:p>
        </w:tc>
        <w:tc>
          <w:tcPr>
            <w:tcW w:w="2178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320—550 тыс.</w:t>
            </w: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320—550 тыс.</w:t>
            </w:r>
          </w:p>
        </w:tc>
      </w:tr>
      <w:tr w:rsidR="00E509EA" w:rsidTr="00B542E8">
        <w:tc>
          <w:tcPr>
            <w:tcW w:w="5058" w:type="dxa"/>
            <w:gridSpan w:val="2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 xml:space="preserve">VLCC: </w:t>
            </w:r>
            <w:r w:rsidRPr="00E509EA">
              <w:rPr>
                <w:i/>
                <w:iCs/>
                <w:color w:val="000000" w:themeColor="text1"/>
              </w:rPr>
              <w:t>Очень Крупные Перевозчики Нефти</w:t>
            </w: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200—300 тыс.</w:t>
            </w:r>
          </w:p>
        </w:tc>
        <w:tc>
          <w:tcPr>
            <w:tcW w:w="2178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160—320 тыс.</w:t>
            </w: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200—320 тыс.</w:t>
            </w:r>
          </w:p>
        </w:tc>
      </w:tr>
      <w:tr w:rsidR="00E509EA" w:rsidTr="00E509EA"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proofErr w:type="spellStart"/>
            <w:r w:rsidRPr="00E509EA">
              <w:rPr>
                <w:color w:val="000000" w:themeColor="text1"/>
              </w:rPr>
              <w:t>Suezmax</w:t>
            </w:r>
            <w:proofErr w:type="spellEnd"/>
          </w:p>
        </w:tc>
        <w:tc>
          <w:tcPr>
            <w:tcW w:w="2254" w:type="dxa"/>
            <w:vMerge w:val="restart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bCs/>
                <w:color w:val="000000" w:themeColor="text1"/>
              </w:rPr>
              <w:t>AFRA</w:t>
            </w: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180—200 тыс.</w:t>
            </w:r>
          </w:p>
        </w:tc>
        <w:tc>
          <w:tcPr>
            <w:tcW w:w="2178" w:type="dxa"/>
            <w:vMerge w:val="restart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80—160 тыс.</w:t>
            </w: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509EA" w:rsidRDefault="00E509EA" w:rsidP="00B542E8">
            <w:pPr>
              <w:rPr>
                <w:color w:val="000000" w:themeColor="text1"/>
              </w:rPr>
            </w:pPr>
            <w:r w:rsidRPr="00E509EA">
              <w:rPr>
                <w:color w:val="000000" w:themeColor="text1"/>
              </w:rPr>
              <w:t>120—200 тыс.</w:t>
            </w:r>
          </w:p>
        </w:tc>
      </w:tr>
      <w:tr w:rsidR="00E509EA" w:rsidTr="00E509EA"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D2B5F" w:rsidRDefault="00E509EA" w:rsidP="00B542E8">
            <w:pPr>
              <w:rPr>
                <w:color w:val="000000" w:themeColor="text1"/>
              </w:rPr>
            </w:pPr>
            <w:hyperlink r:id="rId14" w:tooltip="Афрамакс" w:history="1">
              <w:proofErr w:type="spellStart"/>
              <w:r w:rsidRPr="00ED2B5F">
                <w:rPr>
                  <w:rStyle w:val="a4"/>
                  <w:color w:val="000000" w:themeColor="text1"/>
                  <w:u w:val="none"/>
                </w:rPr>
                <w:t>Афрамакс</w:t>
              </w:r>
              <w:proofErr w:type="spellEnd"/>
            </w:hyperlink>
          </w:p>
        </w:tc>
        <w:tc>
          <w:tcPr>
            <w:tcW w:w="2254" w:type="dxa"/>
            <w:vMerge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D2B5F" w:rsidRDefault="00E509EA" w:rsidP="00B542E8">
            <w:pPr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D2B5F" w:rsidRDefault="00E509EA" w:rsidP="00B542E8">
            <w:pPr>
              <w:rPr>
                <w:color w:val="000000" w:themeColor="text1"/>
              </w:rPr>
            </w:pPr>
            <w:r w:rsidRPr="00ED2B5F">
              <w:rPr>
                <w:color w:val="000000" w:themeColor="text1"/>
              </w:rPr>
              <w:t>100—180 тыс.</w:t>
            </w:r>
          </w:p>
        </w:tc>
        <w:tc>
          <w:tcPr>
            <w:tcW w:w="2178" w:type="dxa"/>
            <w:vMerge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D2B5F" w:rsidRDefault="00E509EA" w:rsidP="00B542E8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509EA" w:rsidRPr="00ED2B5F" w:rsidRDefault="00E509EA" w:rsidP="00B542E8">
            <w:pPr>
              <w:rPr>
                <w:color w:val="000000" w:themeColor="text1"/>
              </w:rPr>
            </w:pPr>
            <w:r w:rsidRPr="00ED2B5F">
              <w:rPr>
                <w:color w:val="000000" w:themeColor="text1"/>
              </w:rPr>
              <w:t>80—120 тыс.</w:t>
            </w:r>
          </w:p>
        </w:tc>
      </w:tr>
    </w:tbl>
    <w:p w:rsidR="00AE7CC5" w:rsidRPr="00E509EA" w:rsidRDefault="00AE7CC5" w:rsidP="00E509EA"/>
    <w:sectPr w:rsidR="00AE7CC5" w:rsidRPr="00E509EA" w:rsidSect="00E509EA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957A9"/>
    <w:rsid w:val="002957A9"/>
    <w:rsid w:val="008869DF"/>
    <w:rsid w:val="00AE7CC5"/>
    <w:rsid w:val="00AF7A69"/>
    <w:rsid w:val="00E509EA"/>
    <w:rsid w:val="00ED2B5F"/>
    <w:rsid w:val="00F42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57A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2957A9"/>
    <w:rPr>
      <w:color w:val="0000FF"/>
      <w:u w:val="single"/>
    </w:rPr>
  </w:style>
  <w:style w:type="paragraph" w:styleId="a5">
    <w:name w:val="Balloon Text"/>
    <w:basedOn w:val="a"/>
    <w:link w:val="a6"/>
    <w:rsid w:val="00ED2B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D2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E%D0%BD%D0%BD%D0%B0" TargetMode="External"/><Relationship Id="rId13" Type="http://schemas.openxmlformats.org/officeDocument/2006/relationships/hyperlink" Target="https://ru.wikipedia.org/wiki/%D0%A2%D0%BE%D0%BD%D0%BD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4%D0%B5%D0%B4%D0%B2%D0%B5%D0%B9%D1%82" TargetMode="External"/><Relationship Id="rId12" Type="http://schemas.openxmlformats.org/officeDocument/2006/relationships/hyperlink" Target="https://ru.wikipedia.org/wiki/%D0%94%D0%B5%D0%B4%D0%B2%D0%B5%D0%B9%D1%8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F%D0%B0%D0%BD%D0%B0%D0%BC%D1%81%D0%BA%D0%B8%D0%B9_%D0%BA%D0%B0%D0%BD%D0%B0%D0%BB" TargetMode="External"/><Relationship Id="rId11" Type="http://schemas.openxmlformats.org/officeDocument/2006/relationships/hyperlink" Target="https://ru.wikipedia.org/wiki/%D0%9F%D0%B0%D0%BD%D0%B0%D0%BC%D1%81%D0%BA%D0%B8%D0%B9_%D0%BA%D0%B0%D0%BD%D0%B0%D0%BB" TargetMode="External"/><Relationship Id="rId5" Type="http://schemas.openxmlformats.org/officeDocument/2006/relationships/hyperlink" Target="https://ru.wikipedia.org/wiki/%D0%A1%D1%83%D1%8D%D1%86%D0%BA%D0%B8%D0%B9_%D0%BA%D0%B0%D0%BD%D0%B0%D0%BB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1%D1%83%D1%8D%D1%86%D0%BA%D0%B8%D0%B9_%D0%BA%D0%B0%D0%BD%D0%B0%D0%BB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u.wikipedia.org/wiki/%D0%90%D1%84%D1%80%D0%B0%D0%BC%D0%B0%D0%BA%D1%81" TargetMode="External"/><Relationship Id="rId14" Type="http://schemas.openxmlformats.org/officeDocument/2006/relationships/hyperlink" Target="https://ru.wikipedia.org/wiki/%D0%90%D1%84%D1%80%D0%B0%D0%BC%D0%B0%D0%BA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2</cp:revision>
  <dcterms:created xsi:type="dcterms:W3CDTF">2019-12-09T15:50:00Z</dcterms:created>
  <dcterms:modified xsi:type="dcterms:W3CDTF">2019-12-09T15:50:00Z</dcterms:modified>
</cp:coreProperties>
</file>